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rPr>
      </w:pPr>
      <w:r>
        <w:rPr>
          <w:rFonts w:hint="eastAsia" w:ascii="宋体" w:hAnsi="宋体" w:eastAsia="宋体"/>
          <w:b/>
        </w:rPr>
        <w:t>房建表B6  附着式升降脚手架评价评分表</w:t>
      </w:r>
    </w:p>
    <w:tbl>
      <w:tblPr>
        <w:tblStyle w:val="15"/>
        <w:tblW w:w="864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59"/>
        <w:gridCol w:w="5030"/>
        <w:gridCol w:w="1023"/>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序号</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评价指标</w:t>
            </w:r>
          </w:p>
        </w:tc>
        <w:tc>
          <w:tcPr>
            <w:tcW w:w="50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rPr>
            </w:pPr>
            <w:r>
              <w:rPr>
                <w:rFonts w:hint="eastAsia" w:ascii="宋体" w:hAnsi="宋体" w:eastAsia="宋体"/>
                <w:szCs w:val="21"/>
              </w:rPr>
              <w:t>标准要求</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rPr>
            </w:pPr>
            <w:r>
              <w:rPr>
                <w:rFonts w:hint="eastAsia" w:ascii="宋体" w:hAnsi="宋体" w:eastAsia="宋体"/>
                <w:szCs w:val="21"/>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restart"/>
            <w:tcBorders>
              <w:left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1</w:t>
            </w:r>
          </w:p>
        </w:tc>
        <w:tc>
          <w:tcPr>
            <w:tcW w:w="1059" w:type="dxa"/>
            <w:vMerge w:val="restart"/>
            <w:tcBorders>
              <w:left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控制项</w:t>
            </w:r>
          </w:p>
        </w:tc>
        <w:tc>
          <w:tcPr>
            <w:tcW w:w="50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bCs/>
                <w:szCs w:val="21"/>
                <w:highlight w:val="none"/>
              </w:rPr>
              <w:t>危大工程应编制专项施工方案，专项施工方案不</w:t>
            </w:r>
            <w:r>
              <w:rPr>
                <w:rFonts w:hint="eastAsia" w:ascii="宋体" w:hAnsi="宋体" w:eastAsia="宋体"/>
                <w:bCs/>
                <w:szCs w:val="21"/>
                <w:highlight w:val="none"/>
                <w:lang w:val="en-US" w:eastAsia="zh-CN"/>
              </w:rPr>
              <w:t>应</w:t>
            </w:r>
            <w:r>
              <w:rPr>
                <w:rFonts w:hint="eastAsia" w:ascii="宋体" w:hAnsi="宋体" w:eastAsia="宋体"/>
                <w:bCs/>
                <w:szCs w:val="21"/>
                <w:highlight w:val="none"/>
              </w:rPr>
              <w:t>存在严重缺陷；超过一定规模应组织专家论证</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对支撑脚手架的工程结构和所附着的工程结构应进行强度和变形验算，验算不能满足安全承载要求时，应采取相应的加固措施</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危大工程验收合格后才能进行下一道工序</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脚手架提升不超过规定允许高度</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架体高度不应大于5倍楼层高</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架体的水平悬挑长度不应大于2m也不大于邻近跨度1/2</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架体悬臂高度不应大于架体高度的2/5且不大于6m</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架体全高与支撑跨度的乘积不应大于110㎡</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脚手板规格、材质应符合要求</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应安装防坠落和防倾覆装置，装置设置位置及技术性能应符合规范要求</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应安装同步控制或荷载控制装置，控制误差应符合规范要求</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防坠落装置与升降设备应分别独立固定在建筑结构处</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防坠落装置应设置在竖向主框架处与建筑结构附着</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应按竖向主框架所覆盖的每个楼层设置一道附着支座</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在使用工况时应将竖向主框架与附着支座固定</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在升降工况时应将防倾、导向装置设置在附着支座处</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主框架和水平支撑桁架的结点应采用焊接或螺栓连接</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架体立杆底端应设置在水平支撑桁架上弦杆件节点处</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两跨以上架体同时整体升降不能采用手动升降设备</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升降工况时附着支座在建筑结构连接处混凝土强度应达到设计和规范要求</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升降工况时架体上不能有施工荷载或有人员停留</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cs="宋体"/>
                <w:color w:val="000000"/>
                <w:kern w:val="0"/>
                <w:sz w:val="21"/>
                <w:szCs w:val="21"/>
                <w:highlight w:val="none"/>
                <w:lang w:val="en-US" w:eastAsia="zh-CN" w:bidi="ar"/>
              </w:rPr>
              <w:t>严禁作业区域有交叉作业</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bCs/>
                <w:szCs w:val="21"/>
                <w:highlight w:val="none"/>
              </w:rPr>
              <w:t>架体分段搭设分段使用应办理分段验收；架体搭设完毕应办理验收手续</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安装、升降、拆除时应设置安全警戒区及专人监护</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cs="宋体"/>
                <w:color w:val="000000"/>
                <w:kern w:val="0"/>
                <w:sz w:val="21"/>
                <w:szCs w:val="21"/>
                <w:highlight w:val="none"/>
                <w:lang w:val="en-US" w:eastAsia="zh" w:bidi="ar"/>
              </w:rPr>
              <w:t>严禁将支撑脚手架、缆风绳、混凝土输送泵管、卸料平台及大型设备的支承件等固定在附着式升降脚手架上</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 w:bidi="ar"/>
              </w:rPr>
              <w:t>严禁在附着式升降脚手架上悬挂起重设备</w:t>
            </w:r>
            <w:r>
              <w:rPr>
                <w:rFonts w:hint="eastAsia" w:ascii="宋体" w:hAnsi="宋体" w:eastAsia="宋体" w:cs="宋体"/>
                <w:color w:val="000000"/>
                <w:kern w:val="0"/>
                <w:sz w:val="21"/>
                <w:szCs w:val="21"/>
                <w:highlight w:val="none"/>
                <w:lang w:val="en-US" w:eastAsia="zh-CN" w:bidi="ar"/>
              </w:rPr>
              <w:t>。</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theme="minorBidi"/>
                <w:kern w:val="2"/>
                <w:sz w:val="21"/>
                <w:szCs w:val="21"/>
                <w:highlight w:val="none"/>
                <w:lang w:val="en-US" w:eastAsia="zh-CN" w:bidi="ar-SA"/>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highlight w:val="none"/>
              </w:rPr>
            </w:pP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专业分包单位应具有相应资质和安全生产许可证</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highlight w:val="none"/>
              </w:rPr>
            </w:pPr>
            <w:r>
              <w:rPr>
                <w:rFonts w:hint="eastAsia" w:ascii="宋体" w:hAnsi="宋体" w:eastAsia="宋体"/>
                <w:szCs w:val="21"/>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1059" w:type="dxa"/>
            <w:vMerge w:val="continue"/>
            <w:tcBorders>
              <w:left w:val="single" w:color="auto" w:sz="4" w:space="0"/>
              <w:right w:val="single" w:color="auto" w:sz="4" w:space="0"/>
            </w:tcBorders>
            <w:vAlign w:val="center"/>
          </w:tcPr>
          <w:p>
            <w:pPr>
              <w:rPr>
                <w:rFonts w:hint="eastAsia" w:ascii="宋体" w:hAnsi="宋体" w:eastAsia="宋体"/>
                <w:szCs w:val="21"/>
              </w:rPr>
            </w:pPr>
          </w:p>
        </w:tc>
        <w:tc>
          <w:tcPr>
            <w:tcW w:w="503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bCs/>
                <w:szCs w:val="21"/>
              </w:rPr>
            </w:pPr>
            <w:r>
              <w:rPr>
                <w:rFonts w:hint="eastAsia" w:ascii="宋体" w:hAnsi="宋体" w:eastAsia="宋体"/>
                <w:bCs/>
                <w:szCs w:val="21"/>
              </w:rPr>
              <w:t>特种作业人员应持证上岗</w:t>
            </w:r>
          </w:p>
        </w:tc>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szCs w:val="21"/>
              </w:rPr>
            </w:pPr>
            <w:r>
              <w:rPr>
                <w:rFonts w:hint="eastAsia" w:ascii="宋体" w:hAnsi="宋体" w:eastAsia="宋体"/>
                <w:szCs w:val="21"/>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序号</w:t>
            </w:r>
          </w:p>
        </w:tc>
        <w:tc>
          <w:tcPr>
            <w:tcW w:w="1059"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评分项目</w:t>
            </w:r>
          </w:p>
        </w:tc>
        <w:tc>
          <w:tcPr>
            <w:tcW w:w="5030" w:type="dxa"/>
            <w:vMerge w:val="restart"/>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szCs w:val="21"/>
              </w:rPr>
            </w:pPr>
            <w:r>
              <w:rPr>
                <w:rFonts w:hint="eastAsia" w:ascii="宋体" w:hAnsi="宋体" w:eastAsia="宋体"/>
                <w:szCs w:val="21"/>
              </w:rPr>
              <w:t>扣分标准</w:t>
            </w:r>
          </w:p>
        </w:tc>
        <w:tc>
          <w:tcPr>
            <w:tcW w:w="187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rPr>
            </w:pPr>
            <w:r>
              <w:rPr>
                <w:rFonts w:hint="eastAsia" w:ascii="宋体" w:hAnsi="宋体" w:eastAsia="宋体"/>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678"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1059"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5030"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应得分</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实得分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架体构造</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架体净宽小于0.6m，大于1.2m，扣10分</w:t>
            </w:r>
          </w:p>
          <w:p>
            <w:pPr>
              <w:rPr>
                <w:rFonts w:hint="eastAsia" w:ascii="宋体" w:hAnsi="宋体" w:eastAsia="宋体"/>
                <w:szCs w:val="21"/>
              </w:rPr>
            </w:pPr>
            <w:r>
              <w:rPr>
                <w:rFonts w:hint="eastAsia" w:ascii="宋体" w:hAnsi="宋体" w:eastAsia="宋体"/>
                <w:szCs w:val="21"/>
              </w:rPr>
              <w:t>直线布置的架体支承跨度大于6m，或折线、曲线布置的架体，相邻两竖向主框架支撑点处的架体内、外侧距离距离大于5.4m，扣15分</w:t>
            </w:r>
          </w:p>
          <w:p>
            <w:pPr>
              <w:rPr>
                <w:rFonts w:hint="eastAsia" w:ascii="宋体" w:hAnsi="宋体" w:eastAsia="宋体"/>
                <w:szCs w:val="21"/>
              </w:rPr>
            </w:pPr>
            <w:r>
              <w:rPr>
                <w:rFonts w:hint="eastAsia" w:ascii="宋体" w:hAnsi="宋体" w:eastAsia="宋体"/>
                <w:szCs w:val="21"/>
              </w:rPr>
              <w:t>架体顶部防护高度超出作业层小于1.5m，扣5分</w:t>
            </w:r>
          </w:p>
          <w:p>
            <w:pPr>
              <w:rPr>
                <w:rFonts w:hint="eastAsia" w:ascii="宋体" w:hAnsi="宋体" w:eastAsia="宋体"/>
                <w:szCs w:val="21"/>
              </w:rPr>
            </w:pPr>
            <w:r>
              <w:rPr>
                <w:rFonts w:hint="eastAsia" w:ascii="宋体" w:hAnsi="宋体" w:eastAsia="宋体"/>
                <w:szCs w:val="21"/>
              </w:rPr>
              <w:t>竖向主框架内侧未设置导轨，且与导轨未刚性连接，扣10分</w:t>
            </w:r>
          </w:p>
          <w:p>
            <w:pPr>
              <w:rPr>
                <w:rFonts w:hint="eastAsia" w:ascii="宋体" w:hAnsi="宋体" w:eastAsia="宋体"/>
                <w:szCs w:val="21"/>
              </w:rPr>
            </w:pPr>
            <w:r>
              <w:rPr>
                <w:rFonts w:hint="eastAsia" w:ascii="宋体" w:hAnsi="宋体" w:eastAsia="宋体"/>
                <w:szCs w:val="21"/>
              </w:rPr>
              <w:t>使用工况下，架体悬臂高度大于6m未采取相应的刚性连接措施，扣15分</w:t>
            </w:r>
          </w:p>
          <w:p>
            <w:pPr>
              <w:rPr>
                <w:rFonts w:hint="eastAsia" w:ascii="宋体" w:hAnsi="宋体" w:eastAsia="宋体"/>
                <w:szCs w:val="21"/>
              </w:rPr>
            </w:pPr>
            <w:r>
              <w:rPr>
                <w:rFonts w:hint="eastAsia" w:ascii="宋体" w:hAnsi="宋体" w:eastAsia="宋体"/>
                <w:szCs w:val="21"/>
              </w:rPr>
              <w:t>水平支承结构不是桁架结构或梁结构，未连续布置在架体底部的内外两侧，未与竖向主框架可靠连接；桁架结构高度小于600mm，扣10-15分</w:t>
            </w:r>
          </w:p>
          <w:p>
            <w:pPr>
              <w:rPr>
                <w:rFonts w:hint="eastAsia" w:ascii="宋体" w:hAnsi="宋体" w:eastAsia="宋体"/>
                <w:szCs w:val="21"/>
              </w:rPr>
            </w:pPr>
            <w:r>
              <w:rPr>
                <w:rFonts w:hint="eastAsia" w:ascii="宋体" w:hAnsi="宋体" w:eastAsia="宋体"/>
                <w:szCs w:val="21"/>
              </w:rPr>
              <w:t>架体未每步铺设金属脚手板，在架体底部、中层防护层未设置翻板，严密性及连接不满足要求</w:t>
            </w:r>
            <w:r>
              <w:rPr>
                <w:rFonts w:hint="eastAsia" w:ascii="宋体" w:hAnsi="宋体" w:eastAsia="宋体"/>
                <w:szCs w:val="21"/>
                <w:lang w:eastAsia="zh-CN"/>
              </w:rPr>
              <w:t>，</w:t>
            </w:r>
            <w:r>
              <w:rPr>
                <w:rFonts w:hint="eastAsia" w:ascii="宋体" w:hAnsi="宋体" w:eastAsia="宋体"/>
                <w:szCs w:val="21"/>
              </w:rPr>
              <w:t>扣10分</w:t>
            </w:r>
          </w:p>
          <w:p>
            <w:pPr>
              <w:rPr>
                <w:rFonts w:hint="eastAsia" w:ascii="宋体" w:hAnsi="宋体" w:eastAsia="宋体"/>
                <w:szCs w:val="21"/>
              </w:rPr>
            </w:pPr>
            <w:r>
              <w:rPr>
                <w:rFonts w:hint="eastAsia" w:ascii="宋体" w:hAnsi="宋体" w:eastAsia="宋体"/>
                <w:szCs w:val="21"/>
              </w:rPr>
              <w:t>未按要求对架体特殊部位采取可靠加强构造措施</w:t>
            </w:r>
            <w:r>
              <w:rPr>
                <w:rFonts w:hint="eastAsia" w:ascii="宋体" w:hAnsi="宋体" w:eastAsia="宋体"/>
                <w:szCs w:val="21"/>
                <w:lang w:eastAsia="zh-CN"/>
              </w:rPr>
              <w:t>，</w:t>
            </w:r>
            <w:r>
              <w:rPr>
                <w:rFonts w:hint="eastAsia" w:ascii="宋体" w:hAnsi="宋体" w:eastAsia="宋体"/>
                <w:szCs w:val="21"/>
              </w:rPr>
              <w:t>扣5分</w:t>
            </w:r>
          </w:p>
          <w:p>
            <w:pPr>
              <w:rPr>
                <w:rFonts w:hint="eastAsia" w:ascii="宋体" w:hAnsi="宋体" w:eastAsia="宋体"/>
                <w:szCs w:val="21"/>
              </w:rPr>
            </w:pPr>
            <w:r>
              <w:rPr>
                <w:rFonts w:hint="eastAsia" w:ascii="宋体" w:hAnsi="宋体" w:eastAsia="宋体"/>
                <w:szCs w:val="21"/>
              </w:rPr>
              <w:t>导轨未与竖向主框架连接，导轨长度未覆盖至最顶层的脚手板，其材料规格尺寸不满足构造要求，扣10分</w:t>
            </w:r>
          </w:p>
          <w:p>
            <w:pPr>
              <w:rPr>
                <w:rFonts w:hint="eastAsia" w:ascii="宋体" w:hAnsi="宋体" w:eastAsia="宋体"/>
                <w:szCs w:val="21"/>
              </w:rPr>
            </w:pPr>
            <w:r>
              <w:rPr>
                <w:rFonts w:hint="eastAsia" w:ascii="宋体" w:hAnsi="宋体" w:eastAsia="宋体"/>
                <w:szCs w:val="21"/>
              </w:rPr>
              <w:t>架体未设置上下楼梯，或楼梯没有扶手栏杆，扣5分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25</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2</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安全装置</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安全装置未定期检查保养</w:t>
            </w:r>
            <w:r>
              <w:rPr>
                <w:rFonts w:hint="eastAsia" w:ascii="宋体" w:hAnsi="宋体" w:eastAsia="宋体"/>
                <w:szCs w:val="21"/>
                <w:lang w:eastAsia="zh-CN"/>
              </w:rPr>
              <w:t>，</w:t>
            </w:r>
            <w:r>
              <w:rPr>
                <w:rFonts w:hint="eastAsia" w:ascii="宋体" w:hAnsi="宋体" w:eastAsia="宋体"/>
                <w:szCs w:val="21"/>
              </w:rPr>
              <w:t>扣5分/处</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15</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3</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附着支座</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附着支座与建筑结构连接固定方式不符合规范要求，扣10分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0"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4</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架体安装</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highlight w:val="none"/>
              </w:rPr>
            </w:pPr>
            <w:r>
              <w:rPr>
                <w:rFonts w:hint="eastAsia" w:ascii="宋体" w:hAnsi="宋体" w:eastAsia="宋体"/>
                <w:szCs w:val="21"/>
                <w:highlight w:val="none"/>
              </w:rPr>
              <w:t>各杆件轴线未交汇于主节点，扣5分</w:t>
            </w:r>
          </w:p>
          <w:p>
            <w:pPr>
              <w:rPr>
                <w:rFonts w:hint="eastAsia" w:ascii="宋体" w:hAnsi="宋体" w:eastAsia="宋体"/>
                <w:szCs w:val="21"/>
                <w:highlight w:val="none"/>
              </w:rPr>
            </w:pPr>
            <w:r>
              <w:rPr>
                <w:rFonts w:hint="eastAsia" w:ascii="宋体" w:hAnsi="宋体" w:eastAsia="宋体"/>
                <w:szCs w:val="21"/>
                <w:highlight w:val="none"/>
              </w:rPr>
              <w:t>内外两片水平支承桁架的上弦和下弦之间设置的水平支撑杆件未采用焊接或螺栓连接，扣5分</w:t>
            </w:r>
          </w:p>
          <w:p>
            <w:pPr>
              <w:rPr>
                <w:rFonts w:hint="eastAsia" w:ascii="宋体" w:hAnsi="宋体" w:eastAsia="宋体"/>
                <w:szCs w:val="21"/>
                <w:highlight w:val="none"/>
              </w:rPr>
            </w:pPr>
            <w:r>
              <w:rPr>
                <w:rFonts w:hint="eastAsia" w:ascii="宋体" w:hAnsi="宋体" w:eastAsia="宋体" w:cs="宋体"/>
                <w:color w:val="000000"/>
                <w:kern w:val="0"/>
                <w:sz w:val="21"/>
                <w:szCs w:val="21"/>
                <w:highlight w:val="none"/>
                <w:lang w:val="en-US" w:eastAsia="zh" w:bidi="ar"/>
              </w:rPr>
              <w:t>水平支承桁架不能连续设置时，</w:t>
            </w:r>
            <w:r>
              <w:rPr>
                <w:rFonts w:hint="eastAsia" w:ascii="宋体" w:hAnsi="宋体" w:eastAsia="宋体" w:cs="宋体"/>
                <w:color w:val="000000"/>
                <w:kern w:val="0"/>
                <w:sz w:val="21"/>
                <w:szCs w:val="21"/>
                <w:highlight w:val="none"/>
                <w:lang w:val="en-US" w:eastAsia="zh-CN" w:bidi="ar"/>
              </w:rPr>
              <w:t>未</w:t>
            </w:r>
            <w:r>
              <w:rPr>
                <w:rFonts w:hint="eastAsia" w:ascii="宋体" w:hAnsi="宋体" w:eastAsia="宋体" w:cs="宋体"/>
                <w:color w:val="000000"/>
                <w:kern w:val="0"/>
                <w:sz w:val="21"/>
                <w:szCs w:val="21"/>
                <w:highlight w:val="none"/>
                <w:lang w:val="en-US" w:eastAsia="zh" w:bidi="ar"/>
              </w:rPr>
              <w:t>采取不低于水平支承桁架强度和刚度的加强措施</w:t>
            </w:r>
            <w:r>
              <w:rPr>
                <w:rFonts w:hint="eastAsia" w:ascii="宋体" w:hAnsi="宋体" w:eastAsia="宋体"/>
                <w:szCs w:val="21"/>
                <w:highlight w:val="none"/>
              </w:rPr>
              <w:t>，扣5分</w:t>
            </w:r>
          </w:p>
          <w:p>
            <w:pPr>
              <w:rPr>
                <w:rFonts w:hint="eastAsia" w:ascii="宋体" w:hAnsi="宋体" w:eastAsia="宋体"/>
                <w:szCs w:val="21"/>
                <w:highlight w:val="none"/>
              </w:rPr>
            </w:pPr>
            <w:r>
              <w:rPr>
                <w:rFonts w:hint="eastAsia" w:ascii="宋体" w:hAnsi="宋体" w:eastAsia="宋体"/>
                <w:szCs w:val="21"/>
                <w:highlight w:val="none"/>
              </w:rPr>
              <w:t>与墙面垂直的定型竖向主框架组装高度低于架体高度，扣5分</w:t>
            </w:r>
            <w:bookmarkStart w:id="0" w:name="_GoBack"/>
            <w:bookmarkEnd w:id="0"/>
          </w:p>
          <w:p>
            <w:pPr>
              <w:rPr>
                <w:rFonts w:hint="eastAsia" w:ascii="宋体" w:hAnsi="宋体" w:eastAsia="宋体"/>
                <w:szCs w:val="21"/>
                <w:highlight w:val="none"/>
              </w:rPr>
            </w:pPr>
            <w:r>
              <w:rPr>
                <w:rFonts w:hint="eastAsia" w:ascii="宋体" w:hAnsi="宋体" w:eastAsia="宋体"/>
                <w:szCs w:val="21"/>
                <w:highlight w:val="none"/>
              </w:rPr>
              <w:t>架体安装过程中利用已安装部位的构件起吊其他重物，或安装过程中架体与建筑结构之间未采取可靠的临时固定措施，扣5-</w:t>
            </w:r>
            <w:r>
              <w:rPr>
                <w:rFonts w:hint="eastAsia" w:ascii="宋体" w:hAnsi="宋体" w:eastAsia="宋体"/>
                <w:szCs w:val="21"/>
                <w:highlight w:val="none"/>
                <w:lang w:val="en-US" w:eastAsia="zh-CN"/>
              </w:rPr>
              <w:t>10</w:t>
            </w:r>
            <w:r>
              <w:rPr>
                <w:rFonts w:hint="eastAsia" w:ascii="宋体" w:hAnsi="宋体" w:eastAsia="宋体"/>
                <w:szCs w:val="21"/>
                <w:highlight w:val="none"/>
              </w:rPr>
              <w:t>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5</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架体升降</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升降前后未进行安全检查，扣5-10分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6</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验收</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未记录量化的验收内容，扣5分</w:t>
            </w:r>
          </w:p>
          <w:p>
            <w:pPr>
              <w:rPr>
                <w:rFonts w:hint="eastAsia" w:ascii="宋体" w:hAnsi="宋体" w:eastAsia="宋体"/>
                <w:szCs w:val="21"/>
              </w:rPr>
            </w:pPr>
            <w:r>
              <w:rPr>
                <w:rFonts w:hint="eastAsia" w:ascii="宋体" w:hAnsi="宋体" w:eastAsia="宋体"/>
                <w:szCs w:val="21"/>
              </w:rPr>
              <w:t>交底内容无针对性，扣5分</w:t>
            </w:r>
          </w:p>
          <w:p>
            <w:pPr>
              <w:rPr>
                <w:rFonts w:hint="eastAsia" w:ascii="宋体" w:hAnsi="宋体" w:eastAsia="宋体"/>
                <w:szCs w:val="21"/>
              </w:rPr>
            </w:pPr>
            <w:r>
              <w:rPr>
                <w:rFonts w:hint="eastAsia" w:ascii="宋体" w:hAnsi="宋体" w:eastAsia="宋体"/>
                <w:szCs w:val="21"/>
              </w:rPr>
              <w:t>责任人未签字确认，扣5分</w:t>
            </w:r>
          </w:p>
          <w:p>
            <w:pPr>
              <w:rPr>
                <w:rFonts w:hint="eastAsia" w:ascii="宋体" w:hAnsi="宋体" w:eastAsia="宋体"/>
                <w:szCs w:val="21"/>
              </w:rPr>
            </w:pPr>
            <w:r>
              <w:rPr>
                <w:rFonts w:hint="eastAsia" w:ascii="宋体" w:hAnsi="宋体" w:eastAsia="宋体"/>
                <w:szCs w:val="21"/>
              </w:rPr>
              <w:t>每次提升前未留有具体检查记录，扣10分</w:t>
            </w:r>
          </w:p>
          <w:p>
            <w:pPr>
              <w:rPr>
                <w:rFonts w:hint="eastAsia" w:ascii="宋体" w:hAnsi="宋体" w:eastAsia="宋体"/>
                <w:szCs w:val="21"/>
              </w:rPr>
            </w:pPr>
            <w:r>
              <w:rPr>
                <w:rFonts w:hint="eastAsia" w:ascii="宋体" w:hAnsi="宋体" w:eastAsia="宋体"/>
                <w:szCs w:val="21"/>
              </w:rPr>
              <w:t>每次提升后、使用前验收资料不全，扣5分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7</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szCs w:val="21"/>
              </w:rPr>
              <w:t>架体防护</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架体外侧未采用属钢板网封闭或网间不严</w:t>
            </w:r>
            <w:r>
              <w:rPr>
                <w:rFonts w:hint="eastAsia" w:ascii="宋体" w:hAnsi="宋体" w:eastAsia="宋体"/>
                <w:szCs w:val="21"/>
                <w:lang w:eastAsia="zh-CN"/>
              </w:rPr>
              <w:t>，</w:t>
            </w:r>
            <w:r>
              <w:rPr>
                <w:rFonts w:hint="eastAsia" w:ascii="宋体" w:hAnsi="宋体" w:eastAsia="宋体"/>
                <w:szCs w:val="21"/>
              </w:rPr>
              <w:t>扣5-</w:t>
            </w:r>
            <w:r>
              <w:rPr>
                <w:rFonts w:hint="eastAsia" w:ascii="宋体" w:hAnsi="宋体" w:eastAsia="宋体"/>
                <w:szCs w:val="21"/>
                <w:lang w:val="en-US" w:eastAsia="zh-CN"/>
              </w:rPr>
              <w:t>10</w:t>
            </w:r>
            <w:r>
              <w:rPr>
                <w:rFonts w:hint="eastAsia" w:ascii="宋体" w:hAnsi="宋体" w:eastAsia="宋体"/>
                <w:szCs w:val="21"/>
              </w:rPr>
              <w:t>分</w:t>
            </w:r>
          </w:p>
          <w:p>
            <w:pPr>
              <w:rPr>
                <w:rFonts w:hint="eastAsia" w:ascii="宋体" w:hAnsi="宋体" w:eastAsia="宋体"/>
                <w:szCs w:val="21"/>
              </w:rPr>
            </w:pPr>
            <w:r>
              <w:rPr>
                <w:rFonts w:hint="eastAsia" w:ascii="宋体" w:hAnsi="宋体" w:eastAsia="宋体"/>
                <w:szCs w:val="21"/>
              </w:rPr>
              <w:t>作业层未按规范要求设置防护栏杆</w:t>
            </w:r>
            <w:r>
              <w:rPr>
                <w:rFonts w:hint="eastAsia" w:ascii="宋体" w:hAnsi="宋体" w:eastAsia="宋体"/>
                <w:szCs w:val="21"/>
                <w:lang w:eastAsia="zh-CN"/>
              </w:rPr>
              <w:t>，</w:t>
            </w:r>
            <w:r>
              <w:rPr>
                <w:rFonts w:hint="eastAsia" w:ascii="宋体" w:hAnsi="宋体" w:eastAsia="宋体"/>
                <w:szCs w:val="21"/>
              </w:rPr>
              <w:t>扣5-</w:t>
            </w:r>
            <w:r>
              <w:rPr>
                <w:rFonts w:hint="eastAsia" w:ascii="宋体" w:hAnsi="宋体" w:eastAsia="宋体"/>
                <w:szCs w:val="21"/>
                <w:lang w:val="en-US" w:eastAsia="zh-CN"/>
              </w:rPr>
              <w:t>10</w:t>
            </w:r>
            <w:r>
              <w:rPr>
                <w:rFonts w:hint="eastAsia" w:ascii="宋体" w:hAnsi="宋体" w:eastAsia="宋体"/>
                <w:szCs w:val="21"/>
              </w:rPr>
              <w:t>分</w:t>
            </w:r>
          </w:p>
          <w:p>
            <w:pPr>
              <w:rPr>
                <w:rFonts w:hint="eastAsia" w:ascii="宋体" w:hAnsi="宋体" w:eastAsia="宋体"/>
                <w:szCs w:val="21"/>
              </w:rPr>
            </w:pPr>
            <w:r>
              <w:rPr>
                <w:rFonts w:hint="eastAsia" w:ascii="宋体" w:hAnsi="宋体" w:eastAsia="宋体"/>
                <w:szCs w:val="21"/>
              </w:rPr>
              <w:t>翻板、挡脚板构造及铺设不符合规范要求</w:t>
            </w:r>
            <w:r>
              <w:rPr>
                <w:rFonts w:hint="eastAsia" w:ascii="宋体" w:hAnsi="宋体" w:eastAsia="宋体"/>
                <w:szCs w:val="21"/>
                <w:lang w:eastAsia="zh-CN"/>
              </w:rPr>
              <w:t>，</w:t>
            </w:r>
            <w:r>
              <w:rPr>
                <w:rFonts w:hint="eastAsia" w:ascii="宋体" w:hAnsi="宋体" w:eastAsia="宋体"/>
                <w:szCs w:val="21"/>
              </w:rPr>
              <w:t>扣5-</w:t>
            </w:r>
            <w:r>
              <w:rPr>
                <w:rFonts w:hint="eastAsia" w:ascii="宋体" w:hAnsi="宋体" w:eastAsia="宋体"/>
                <w:szCs w:val="21"/>
                <w:lang w:val="en-US" w:eastAsia="zh-CN"/>
              </w:rPr>
              <w:t>10</w:t>
            </w:r>
            <w:r>
              <w:rPr>
                <w:rFonts w:hint="eastAsia" w:ascii="宋体" w:hAnsi="宋体" w:eastAsia="宋体"/>
                <w:szCs w:val="21"/>
              </w:rPr>
              <w:t>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7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8</w:t>
            </w:r>
          </w:p>
        </w:tc>
        <w:tc>
          <w:tcPr>
            <w:tcW w:w="105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bCs/>
                <w:szCs w:val="21"/>
              </w:rPr>
            </w:pPr>
            <w:r>
              <w:rPr>
                <w:rFonts w:hint="eastAsia" w:ascii="宋体" w:hAnsi="宋体" w:eastAsia="宋体"/>
                <w:szCs w:val="21"/>
              </w:rPr>
              <w:t>安全作业</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荷载不均匀或超载，扣5-10分</w:t>
            </w: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37"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评价项目合计</w:t>
            </w:r>
          </w:p>
        </w:tc>
        <w:tc>
          <w:tcPr>
            <w:tcW w:w="503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c>
          <w:tcPr>
            <w:tcW w:w="1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r>
              <w:rPr>
                <w:rFonts w:hint="eastAsia" w:ascii="宋体" w:hAnsi="宋体" w:eastAsia="宋体"/>
                <w:szCs w:val="21"/>
              </w:rPr>
              <w:t>100</w:t>
            </w:r>
          </w:p>
        </w:tc>
        <w:tc>
          <w:tcPr>
            <w:tcW w:w="85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szCs w:val="21"/>
              </w:rPr>
            </w:pP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B3986"/>
    <w:rsid w:val="003E05C5"/>
    <w:rsid w:val="00407F9E"/>
    <w:rsid w:val="0048059C"/>
    <w:rsid w:val="00664863"/>
    <w:rsid w:val="00790020"/>
    <w:rsid w:val="00AC7E4B"/>
    <w:rsid w:val="00B37160"/>
    <w:rsid w:val="00C04055"/>
    <w:rsid w:val="00C81323"/>
    <w:rsid w:val="00E874CB"/>
    <w:rsid w:val="0CBE4CE3"/>
    <w:rsid w:val="22747A46"/>
    <w:rsid w:val="27505B08"/>
    <w:rsid w:val="2A832E5D"/>
    <w:rsid w:val="2B0A3147"/>
    <w:rsid w:val="302A027D"/>
    <w:rsid w:val="3935388E"/>
    <w:rsid w:val="3D7773C4"/>
    <w:rsid w:val="49607E0C"/>
    <w:rsid w:val="51664123"/>
    <w:rsid w:val="540B3084"/>
    <w:rsid w:val="550D198D"/>
    <w:rsid w:val="607A3615"/>
    <w:rsid w:val="669F10B5"/>
    <w:rsid w:val="6825415D"/>
    <w:rsid w:val="733F4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1701</Words>
  <Characters>1768</Characters>
  <Lines>314</Lines>
  <Paragraphs>123</Paragraphs>
  <TotalTime>5</TotalTime>
  <ScaleCrop>false</ScaleCrop>
  <LinksUpToDate>false</LinksUpToDate>
  <CharactersWithSpaces>1770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2025-05-02T03:47:00Z</dcterms:created>
  <dc:creator>航 吴</dc:creator>
  <cp:lastModifiedBy>39622</cp:lastModifiedBy>
  <dcterms:modified xsi:type="dcterms:W3CDTF">2025-06-02T08:31:40Z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eyJoZGlkIjoiYTYyMzRiZTdlNjJmOGNjYTUxZTI5OWVjNjBkYTJiMDgiLCJ1c2VySWQiOiI0ODQ4ODg3OTkifQ==</vt:lpwstr>
  </property>
  <property fmtid="{D5CDD505-2E9C-101B-9397-08002B2CF9AE}" pid="3" name="KSOProductBuildVer">
    <vt:lpwstr>2052-11.8.2.11718</vt:lpwstr>
  </property>
  <property fmtid="{D5CDD505-2E9C-101B-9397-08002B2CF9AE}" pid="4" name="ICV">
    <vt:lpwstr>EB5EC47D41664E7C9A5A930586697788_12</vt:lpwstr>
  </property>
</Properties>
</file>